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8898"/>
      </w:tblGrid>
      <w:tr w:rsidR="00782AD7" w:rsidRPr="00C571C4" w:rsidTr="00782AD7">
        <w:trPr>
          <w:trHeight w:val="521"/>
        </w:trPr>
        <w:tc>
          <w:tcPr>
            <w:tcW w:w="672" w:type="dxa"/>
            <w:shd w:val="clear" w:color="auto" w:fill="auto"/>
          </w:tcPr>
          <w:p w:rsidR="00782AD7" w:rsidRPr="00C571C4" w:rsidRDefault="00782AD7" w:rsidP="007337CD">
            <w:pPr>
              <w:spacing w:after="100" w:afterAutospacing="1"/>
              <w:contextualSpacing/>
              <w:jc w:val="both"/>
              <w:rPr>
                <w:rFonts w:eastAsia="Times New Roman"/>
                <w:b/>
                <w:sz w:val="25"/>
                <w:szCs w:val="25"/>
              </w:rPr>
            </w:pPr>
            <w:r w:rsidRPr="00C571C4">
              <w:rPr>
                <w:rFonts w:eastAsia="Times New Roman"/>
                <w:b/>
                <w:sz w:val="25"/>
                <w:szCs w:val="25"/>
              </w:rPr>
              <w:t>№</w:t>
            </w:r>
          </w:p>
          <w:p w:rsidR="00782AD7" w:rsidRPr="00C571C4" w:rsidRDefault="00782AD7" w:rsidP="007337CD">
            <w:pPr>
              <w:spacing w:after="100" w:afterAutospacing="1"/>
              <w:contextualSpacing/>
              <w:jc w:val="both"/>
              <w:rPr>
                <w:rFonts w:eastAsia="Times New Roman"/>
                <w:b/>
                <w:sz w:val="25"/>
                <w:szCs w:val="25"/>
              </w:rPr>
            </w:pPr>
            <w:proofErr w:type="gramStart"/>
            <w:r w:rsidRPr="00C571C4">
              <w:rPr>
                <w:rFonts w:eastAsia="Times New Roman"/>
                <w:b/>
                <w:sz w:val="25"/>
                <w:szCs w:val="25"/>
              </w:rPr>
              <w:t>п</w:t>
            </w:r>
            <w:proofErr w:type="gramEnd"/>
            <w:r w:rsidRPr="00C571C4">
              <w:rPr>
                <w:rFonts w:eastAsia="Times New Roman"/>
                <w:b/>
                <w:sz w:val="25"/>
                <w:szCs w:val="25"/>
              </w:rPr>
              <w:t>/п</w:t>
            </w:r>
          </w:p>
        </w:tc>
        <w:tc>
          <w:tcPr>
            <w:tcW w:w="8899" w:type="dxa"/>
            <w:shd w:val="clear" w:color="auto" w:fill="auto"/>
            <w:vAlign w:val="center"/>
          </w:tcPr>
          <w:p w:rsidR="00782AD7" w:rsidRPr="00C571C4" w:rsidRDefault="00782AD7" w:rsidP="007337CD">
            <w:pPr>
              <w:spacing w:after="100" w:afterAutospacing="1"/>
              <w:contextualSpacing/>
              <w:jc w:val="center"/>
              <w:rPr>
                <w:rFonts w:eastAsia="Times New Roman"/>
                <w:b/>
                <w:sz w:val="25"/>
                <w:szCs w:val="25"/>
              </w:rPr>
            </w:pPr>
            <w:r w:rsidRPr="00C571C4">
              <w:rPr>
                <w:rFonts w:eastAsia="Times New Roman"/>
                <w:b/>
                <w:sz w:val="25"/>
                <w:szCs w:val="25"/>
              </w:rPr>
              <w:t>Наименование государственной услуги</w:t>
            </w:r>
          </w:p>
        </w:tc>
      </w:tr>
      <w:tr w:rsidR="00782AD7" w:rsidRPr="00C571C4" w:rsidTr="00782AD7">
        <w:trPr>
          <w:trHeight w:val="387"/>
        </w:trPr>
        <w:tc>
          <w:tcPr>
            <w:tcW w:w="672" w:type="dxa"/>
            <w:shd w:val="clear" w:color="auto" w:fill="auto"/>
          </w:tcPr>
          <w:p w:rsidR="00782AD7" w:rsidRPr="00C571C4" w:rsidRDefault="00782AD7" w:rsidP="007337CD">
            <w:pPr>
              <w:spacing w:after="100" w:afterAutospacing="1"/>
              <w:contextualSpacing/>
              <w:jc w:val="center"/>
              <w:rPr>
                <w:rFonts w:eastAsia="Times New Roman"/>
                <w:sz w:val="25"/>
                <w:szCs w:val="25"/>
              </w:rPr>
            </w:pPr>
            <w:r w:rsidRPr="00C571C4">
              <w:rPr>
                <w:rFonts w:eastAsia="Times New Roman"/>
                <w:sz w:val="25"/>
                <w:szCs w:val="25"/>
              </w:rPr>
              <w:t>1.</w:t>
            </w:r>
          </w:p>
        </w:tc>
        <w:tc>
          <w:tcPr>
            <w:tcW w:w="8899" w:type="dxa"/>
            <w:shd w:val="clear" w:color="auto" w:fill="auto"/>
          </w:tcPr>
          <w:p w:rsidR="00782AD7" w:rsidRPr="00C571C4" w:rsidRDefault="00782AD7" w:rsidP="007337CD">
            <w:pPr>
              <w:spacing w:after="100" w:afterAutospacing="1"/>
              <w:contextualSpacing/>
              <w:jc w:val="both"/>
              <w:rPr>
                <w:rFonts w:eastAsia="Times New Roman"/>
                <w:sz w:val="25"/>
                <w:szCs w:val="25"/>
              </w:rPr>
            </w:pPr>
            <w:r w:rsidRPr="00C571C4">
              <w:rPr>
                <w:rFonts w:eastAsia="Times New Roman"/>
                <w:sz w:val="25"/>
                <w:szCs w:val="25"/>
              </w:rPr>
              <w:t>Государственная регистрация юридических лиц, физических лиц в качестве индивидуальных предпринимателей и крестьянских (фермерских) хозяйств</w:t>
            </w:r>
          </w:p>
        </w:tc>
      </w:tr>
      <w:tr w:rsidR="00782AD7" w:rsidRPr="001960E6" w:rsidTr="00782AD7">
        <w:trPr>
          <w:trHeight w:val="387"/>
        </w:trPr>
        <w:tc>
          <w:tcPr>
            <w:tcW w:w="672" w:type="dxa"/>
            <w:shd w:val="clear" w:color="auto" w:fill="auto"/>
          </w:tcPr>
          <w:p w:rsidR="00782AD7" w:rsidRPr="001960E6" w:rsidRDefault="00782AD7" w:rsidP="007337CD">
            <w:pPr>
              <w:spacing w:after="100" w:afterAutospacing="1"/>
              <w:contextualSpacing/>
              <w:jc w:val="center"/>
              <w:rPr>
                <w:rFonts w:eastAsia="Times New Roman"/>
                <w:sz w:val="25"/>
                <w:szCs w:val="25"/>
              </w:rPr>
            </w:pPr>
            <w:r w:rsidRPr="001960E6">
              <w:rPr>
                <w:rFonts w:eastAsia="Times New Roman"/>
                <w:sz w:val="25"/>
                <w:szCs w:val="25"/>
              </w:rPr>
              <w:t>2.</w:t>
            </w:r>
          </w:p>
        </w:tc>
        <w:tc>
          <w:tcPr>
            <w:tcW w:w="8899" w:type="dxa"/>
            <w:shd w:val="clear" w:color="auto" w:fill="auto"/>
          </w:tcPr>
          <w:p w:rsidR="00782AD7" w:rsidRPr="001960E6" w:rsidRDefault="00782AD7" w:rsidP="007337CD">
            <w:pPr>
              <w:spacing w:after="100" w:afterAutospacing="1"/>
              <w:contextualSpacing/>
              <w:jc w:val="both"/>
              <w:rPr>
                <w:rFonts w:eastAsia="Times New Roman"/>
                <w:sz w:val="25"/>
                <w:szCs w:val="25"/>
              </w:rPr>
            </w:pPr>
            <w:r w:rsidRPr="001960E6">
              <w:rPr>
                <w:sz w:val="25"/>
                <w:szCs w:val="25"/>
              </w:rPr>
              <w:t>Информирование физических лиц о начислениях налогов, сборов, пеней, штрафов, процентов с истекшим сроком уплаты (задолженности) с использованием Государственной информационной системы о государственных и муниципальных платежах (ГИС ГМП)</w:t>
            </w:r>
          </w:p>
        </w:tc>
      </w:tr>
      <w:tr w:rsidR="00782AD7" w:rsidRPr="001119DC" w:rsidTr="00782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7"/>
        </w:trPr>
        <w:tc>
          <w:tcPr>
            <w:tcW w:w="672" w:type="dxa"/>
            <w:tcBorders>
              <w:top w:val="single" w:sz="4" w:space="0" w:color="auto"/>
              <w:left w:val="single" w:sz="4" w:space="0" w:color="auto"/>
              <w:bottom w:val="single" w:sz="4" w:space="0" w:color="auto"/>
              <w:right w:val="single" w:sz="4" w:space="0" w:color="auto"/>
            </w:tcBorders>
            <w:shd w:val="clear" w:color="auto" w:fill="auto"/>
          </w:tcPr>
          <w:p w:rsidR="00782AD7" w:rsidRPr="001960E6" w:rsidRDefault="00782AD7" w:rsidP="007337CD">
            <w:pPr>
              <w:spacing w:after="100" w:afterAutospacing="1"/>
              <w:contextualSpacing/>
              <w:jc w:val="center"/>
              <w:rPr>
                <w:rFonts w:eastAsia="Times New Roman"/>
                <w:sz w:val="25"/>
                <w:szCs w:val="25"/>
              </w:rPr>
            </w:pPr>
            <w:r w:rsidRPr="001960E6">
              <w:rPr>
                <w:rFonts w:eastAsia="Times New Roman"/>
                <w:sz w:val="25"/>
                <w:szCs w:val="25"/>
              </w:rPr>
              <w:t>3.</w:t>
            </w:r>
          </w:p>
        </w:tc>
        <w:tc>
          <w:tcPr>
            <w:tcW w:w="8899" w:type="dxa"/>
            <w:tcBorders>
              <w:top w:val="single" w:sz="4" w:space="0" w:color="auto"/>
              <w:left w:val="single" w:sz="4" w:space="0" w:color="auto"/>
              <w:bottom w:val="single" w:sz="4" w:space="0" w:color="auto"/>
              <w:right w:val="single" w:sz="4" w:space="0" w:color="auto"/>
            </w:tcBorders>
            <w:shd w:val="clear" w:color="auto" w:fill="auto"/>
          </w:tcPr>
          <w:p w:rsidR="00782AD7" w:rsidRPr="00B85D7E" w:rsidRDefault="00782AD7" w:rsidP="007337CD">
            <w:pPr>
              <w:spacing w:after="100" w:afterAutospacing="1"/>
              <w:contextualSpacing/>
              <w:jc w:val="both"/>
              <w:rPr>
                <w:rFonts w:eastAsia="Times New Roman"/>
                <w:sz w:val="25"/>
                <w:szCs w:val="25"/>
              </w:rPr>
            </w:pPr>
            <w:r w:rsidRPr="001960E6">
              <w:rPr>
                <w:rFonts w:eastAsia="Times New Roman"/>
                <w:sz w:val="25"/>
                <w:szCs w:val="25"/>
              </w:rPr>
              <w:t>Прием заявления физического лица о постановке на учет в налоговом органе и выдача (повторная выдача) физическому лицу свидетельства о постановке на учет</w:t>
            </w:r>
          </w:p>
        </w:tc>
      </w:tr>
      <w:tr w:rsidR="00782AD7" w:rsidRPr="00C571C4" w:rsidTr="00782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7"/>
        </w:trPr>
        <w:tc>
          <w:tcPr>
            <w:tcW w:w="672" w:type="dxa"/>
            <w:tcBorders>
              <w:top w:val="single" w:sz="4" w:space="0" w:color="auto"/>
              <w:left w:val="single" w:sz="4" w:space="0" w:color="auto"/>
              <w:bottom w:val="single" w:sz="4" w:space="0" w:color="auto"/>
              <w:right w:val="single" w:sz="4" w:space="0" w:color="auto"/>
            </w:tcBorders>
            <w:shd w:val="clear" w:color="auto" w:fill="auto"/>
          </w:tcPr>
          <w:p w:rsidR="00782AD7" w:rsidRPr="00C571C4" w:rsidRDefault="00782AD7" w:rsidP="007337CD">
            <w:pPr>
              <w:spacing w:after="100" w:afterAutospacing="1"/>
              <w:contextualSpacing/>
              <w:jc w:val="center"/>
              <w:rPr>
                <w:rFonts w:eastAsia="Times New Roman"/>
                <w:sz w:val="25"/>
                <w:szCs w:val="25"/>
              </w:rPr>
            </w:pPr>
            <w:r>
              <w:rPr>
                <w:rFonts w:eastAsia="Times New Roman"/>
                <w:sz w:val="25"/>
                <w:szCs w:val="25"/>
                <w:lang w:val="en-US"/>
              </w:rPr>
              <w:t>4</w:t>
            </w:r>
            <w:r w:rsidRPr="00C571C4">
              <w:rPr>
                <w:rFonts w:eastAsia="Times New Roman"/>
                <w:sz w:val="25"/>
                <w:szCs w:val="25"/>
              </w:rPr>
              <w:t>.</w:t>
            </w:r>
          </w:p>
        </w:tc>
        <w:tc>
          <w:tcPr>
            <w:tcW w:w="8899" w:type="dxa"/>
            <w:tcBorders>
              <w:top w:val="single" w:sz="4" w:space="0" w:color="auto"/>
              <w:left w:val="single" w:sz="4" w:space="0" w:color="auto"/>
              <w:bottom w:val="single" w:sz="4" w:space="0" w:color="auto"/>
              <w:right w:val="single" w:sz="4" w:space="0" w:color="auto"/>
            </w:tcBorders>
            <w:shd w:val="clear" w:color="auto" w:fill="auto"/>
          </w:tcPr>
          <w:p w:rsidR="00782AD7" w:rsidRPr="00C571C4" w:rsidRDefault="00782AD7" w:rsidP="007337CD">
            <w:pPr>
              <w:spacing w:after="100" w:afterAutospacing="1"/>
              <w:contextualSpacing/>
              <w:jc w:val="both"/>
              <w:rPr>
                <w:rFonts w:eastAsia="Times New Roman"/>
                <w:sz w:val="25"/>
                <w:szCs w:val="25"/>
              </w:rPr>
            </w:pPr>
            <w:r w:rsidRPr="00C571C4">
              <w:rPr>
                <w:rFonts w:eastAsia="Times New Roman"/>
                <w:sz w:val="25"/>
                <w:szCs w:val="25"/>
              </w:rPr>
              <w:t>Предоставление заинтересованным лицам сведений, содержащихся в реестре дисквалифицированных лиц</w:t>
            </w:r>
          </w:p>
        </w:tc>
      </w:tr>
      <w:tr w:rsidR="00782AD7" w:rsidRPr="00C571C4" w:rsidTr="00782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7"/>
        </w:trPr>
        <w:tc>
          <w:tcPr>
            <w:tcW w:w="672" w:type="dxa"/>
            <w:tcBorders>
              <w:top w:val="single" w:sz="4" w:space="0" w:color="auto"/>
              <w:left w:val="single" w:sz="4" w:space="0" w:color="auto"/>
              <w:bottom w:val="single" w:sz="4" w:space="0" w:color="auto"/>
              <w:right w:val="single" w:sz="4" w:space="0" w:color="auto"/>
            </w:tcBorders>
            <w:shd w:val="clear" w:color="auto" w:fill="auto"/>
          </w:tcPr>
          <w:p w:rsidR="00782AD7" w:rsidRPr="00C571C4" w:rsidRDefault="00782AD7" w:rsidP="007337CD">
            <w:pPr>
              <w:spacing w:after="100" w:afterAutospacing="1"/>
              <w:contextualSpacing/>
              <w:jc w:val="center"/>
              <w:rPr>
                <w:rFonts w:eastAsia="Times New Roman"/>
                <w:sz w:val="25"/>
                <w:szCs w:val="25"/>
              </w:rPr>
            </w:pPr>
            <w:r>
              <w:rPr>
                <w:rFonts w:eastAsia="Times New Roman"/>
                <w:sz w:val="25"/>
                <w:szCs w:val="25"/>
                <w:lang w:val="en-US"/>
              </w:rPr>
              <w:t>5</w:t>
            </w:r>
            <w:r w:rsidRPr="00C571C4">
              <w:rPr>
                <w:rFonts w:eastAsia="Times New Roman"/>
                <w:sz w:val="25"/>
                <w:szCs w:val="25"/>
              </w:rPr>
              <w:t>.</w:t>
            </w:r>
          </w:p>
        </w:tc>
        <w:tc>
          <w:tcPr>
            <w:tcW w:w="8899" w:type="dxa"/>
            <w:tcBorders>
              <w:top w:val="single" w:sz="4" w:space="0" w:color="auto"/>
              <w:left w:val="single" w:sz="4" w:space="0" w:color="auto"/>
              <w:bottom w:val="single" w:sz="4" w:space="0" w:color="auto"/>
              <w:right w:val="single" w:sz="4" w:space="0" w:color="auto"/>
            </w:tcBorders>
            <w:shd w:val="clear" w:color="auto" w:fill="auto"/>
          </w:tcPr>
          <w:p w:rsidR="00782AD7" w:rsidRPr="00C571C4" w:rsidRDefault="00782AD7" w:rsidP="007337CD">
            <w:pPr>
              <w:spacing w:after="100" w:afterAutospacing="1"/>
              <w:contextualSpacing/>
              <w:jc w:val="both"/>
              <w:rPr>
                <w:rFonts w:eastAsia="Times New Roman"/>
                <w:sz w:val="25"/>
                <w:szCs w:val="25"/>
              </w:rPr>
            </w:pPr>
            <w:r w:rsidRPr="00C571C4">
              <w:rPr>
                <w:rFonts w:eastAsia="Times New Roman"/>
                <w:sz w:val="25"/>
                <w:szCs w:val="25"/>
              </w:rPr>
              <w:t>Предоставление выписки из Единого государственного реестра налогоплательщиков (в части предоставления по запросам физических и юридических лиц выписок из указанного реестра, за исключением сведений, содержащих налоговую тайну)</w:t>
            </w:r>
          </w:p>
        </w:tc>
      </w:tr>
      <w:tr w:rsidR="00782AD7" w:rsidRPr="00C571C4" w:rsidTr="00782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7"/>
        </w:trPr>
        <w:tc>
          <w:tcPr>
            <w:tcW w:w="672" w:type="dxa"/>
            <w:tcBorders>
              <w:top w:val="single" w:sz="4" w:space="0" w:color="auto"/>
              <w:left w:val="single" w:sz="4" w:space="0" w:color="auto"/>
              <w:bottom w:val="single" w:sz="4" w:space="0" w:color="auto"/>
              <w:right w:val="single" w:sz="4" w:space="0" w:color="auto"/>
            </w:tcBorders>
            <w:shd w:val="clear" w:color="auto" w:fill="auto"/>
          </w:tcPr>
          <w:p w:rsidR="00782AD7" w:rsidRPr="00C571C4" w:rsidRDefault="00782AD7" w:rsidP="007337CD">
            <w:pPr>
              <w:spacing w:after="100" w:afterAutospacing="1"/>
              <w:contextualSpacing/>
              <w:jc w:val="center"/>
              <w:rPr>
                <w:rFonts w:eastAsia="Times New Roman"/>
                <w:sz w:val="25"/>
                <w:szCs w:val="25"/>
              </w:rPr>
            </w:pPr>
            <w:r>
              <w:rPr>
                <w:rFonts w:eastAsia="Times New Roman"/>
                <w:sz w:val="25"/>
                <w:szCs w:val="25"/>
                <w:lang w:val="en-US"/>
              </w:rPr>
              <w:t>6</w:t>
            </w:r>
            <w:r w:rsidRPr="00C571C4">
              <w:rPr>
                <w:rFonts w:eastAsia="Times New Roman"/>
                <w:sz w:val="25"/>
                <w:szCs w:val="25"/>
              </w:rPr>
              <w:t>.</w:t>
            </w:r>
          </w:p>
        </w:tc>
        <w:tc>
          <w:tcPr>
            <w:tcW w:w="8899" w:type="dxa"/>
            <w:tcBorders>
              <w:top w:val="single" w:sz="4" w:space="0" w:color="auto"/>
              <w:left w:val="single" w:sz="4" w:space="0" w:color="auto"/>
              <w:bottom w:val="single" w:sz="4" w:space="0" w:color="auto"/>
              <w:right w:val="single" w:sz="4" w:space="0" w:color="auto"/>
            </w:tcBorders>
            <w:shd w:val="clear" w:color="auto" w:fill="auto"/>
          </w:tcPr>
          <w:p w:rsidR="00782AD7" w:rsidRPr="00C571C4" w:rsidRDefault="00782AD7" w:rsidP="007337CD">
            <w:pPr>
              <w:spacing w:after="100" w:afterAutospacing="1"/>
              <w:contextualSpacing/>
              <w:jc w:val="both"/>
              <w:rPr>
                <w:rFonts w:eastAsia="Times New Roman"/>
                <w:sz w:val="25"/>
                <w:szCs w:val="25"/>
              </w:rPr>
            </w:pPr>
            <w:r w:rsidRPr="00C571C4">
              <w:rPr>
                <w:rFonts w:eastAsia="Times New Roman"/>
                <w:sz w:val="25"/>
                <w:szCs w:val="25"/>
              </w:rPr>
              <w:t>Предоставление сведений, содержащихся в Едином государственном реестре юридических лиц и Едином государственном реестре индивидуальных предпринимателей (в части предоставления по запросам физических и юридических лиц выписок из указанных реестров, за исключением выписок, содержащих сведения ограниченного доступа)</w:t>
            </w:r>
          </w:p>
        </w:tc>
      </w:tr>
      <w:tr w:rsidR="00782AD7" w:rsidRPr="00C571C4" w:rsidTr="00782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7"/>
        </w:trPr>
        <w:tc>
          <w:tcPr>
            <w:tcW w:w="672" w:type="dxa"/>
            <w:tcBorders>
              <w:top w:val="single" w:sz="4" w:space="0" w:color="auto"/>
              <w:left w:val="single" w:sz="4" w:space="0" w:color="auto"/>
              <w:bottom w:val="single" w:sz="4" w:space="0" w:color="auto"/>
              <w:right w:val="single" w:sz="4" w:space="0" w:color="auto"/>
            </w:tcBorders>
            <w:shd w:val="clear" w:color="auto" w:fill="auto"/>
          </w:tcPr>
          <w:p w:rsidR="00782AD7" w:rsidRPr="00C571C4" w:rsidRDefault="00782AD7" w:rsidP="007337CD">
            <w:pPr>
              <w:spacing w:after="100" w:afterAutospacing="1"/>
              <w:contextualSpacing/>
              <w:jc w:val="center"/>
              <w:rPr>
                <w:rFonts w:eastAsia="Times New Roman"/>
                <w:sz w:val="25"/>
                <w:szCs w:val="25"/>
              </w:rPr>
            </w:pPr>
            <w:r>
              <w:rPr>
                <w:rFonts w:eastAsia="Times New Roman"/>
                <w:sz w:val="25"/>
                <w:szCs w:val="25"/>
                <w:lang w:val="en-US"/>
              </w:rPr>
              <w:t>7</w:t>
            </w:r>
            <w:r w:rsidRPr="00C571C4">
              <w:rPr>
                <w:rFonts w:eastAsia="Times New Roman"/>
                <w:sz w:val="25"/>
                <w:szCs w:val="25"/>
              </w:rPr>
              <w:t>.</w:t>
            </w:r>
          </w:p>
        </w:tc>
        <w:tc>
          <w:tcPr>
            <w:tcW w:w="8899" w:type="dxa"/>
            <w:tcBorders>
              <w:top w:val="single" w:sz="4" w:space="0" w:color="auto"/>
              <w:left w:val="single" w:sz="4" w:space="0" w:color="auto"/>
              <w:bottom w:val="single" w:sz="4" w:space="0" w:color="auto"/>
              <w:right w:val="single" w:sz="4" w:space="0" w:color="auto"/>
            </w:tcBorders>
            <w:shd w:val="clear" w:color="auto" w:fill="auto"/>
          </w:tcPr>
          <w:p w:rsidR="00782AD7" w:rsidRPr="00C571C4" w:rsidRDefault="00782AD7" w:rsidP="00782AD7">
            <w:pPr>
              <w:rPr>
                <w:rFonts w:eastAsia="Times New Roman"/>
                <w:sz w:val="25"/>
                <w:szCs w:val="25"/>
              </w:rPr>
            </w:pPr>
            <w:proofErr w:type="gramStart"/>
            <w:r w:rsidRPr="00782AD7">
              <w:rPr>
                <w:rFonts w:eastAsia="Times New Roman"/>
                <w:sz w:val="25"/>
                <w:szCs w:val="25"/>
              </w:rPr>
              <w:t>Бесплатное информирование (в том числе в письменной форме) налогоплательщиков, плательщиков сборов, плательщиков страховых взносов и налоговых агентов о действующих налогах и сборах, страховых взносах, законодательстве Российской Федерации о налогах и сборах и принятых в соответствии с ним нормативных правовых актах, порядке исчисления и уплаты налогов и сборов, страховых взносов, правах и обязанностях налогоплательщиков, плательщиков сборов, плательщиков страховых взносов и налоговых</w:t>
            </w:r>
            <w:proofErr w:type="gramEnd"/>
            <w:r w:rsidRPr="00782AD7">
              <w:rPr>
                <w:rFonts w:eastAsia="Times New Roman"/>
                <w:sz w:val="25"/>
                <w:szCs w:val="25"/>
              </w:rPr>
              <w:t xml:space="preserve"> </w:t>
            </w:r>
            <w:proofErr w:type="gramStart"/>
            <w:r w:rsidRPr="00782AD7">
              <w:rPr>
                <w:rFonts w:eastAsia="Times New Roman"/>
                <w:sz w:val="25"/>
                <w:szCs w:val="25"/>
              </w:rPr>
              <w:t>агентов, полномочиях налоговых органов и их должностных лиц (в части приема запроса и выдачи справки об исполнении налогоплательщиком (плательщиком сборов, плательщиком страховых взносов, налоговым агентом) обязанности по уплате налогов, сборов, страховых взносов, пеней, штрафов, процентов)</w:t>
            </w:r>
            <w:proofErr w:type="gramEnd"/>
          </w:p>
        </w:tc>
      </w:tr>
      <w:tr w:rsidR="00782AD7" w:rsidRPr="00C571C4" w:rsidTr="00782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7"/>
        </w:trPr>
        <w:tc>
          <w:tcPr>
            <w:tcW w:w="672" w:type="dxa"/>
            <w:tcBorders>
              <w:top w:val="single" w:sz="4" w:space="0" w:color="auto"/>
              <w:left w:val="single" w:sz="4" w:space="0" w:color="auto"/>
              <w:bottom w:val="single" w:sz="4" w:space="0" w:color="auto"/>
              <w:right w:val="single" w:sz="4" w:space="0" w:color="auto"/>
            </w:tcBorders>
            <w:shd w:val="clear" w:color="auto" w:fill="auto"/>
          </w:tcPr>
          <w:p w:rsidR="00782AD7" w:rsidRPr="00C92760" w:rsidRDefault="00782AD7" w:rsidP="007337CD">
            <w:pPr>
              <w:spacing w:after="100" w:afterAutospacing="1"/>
              <w:contextualSpacing/>
              <w:jc w:val="center"/>
              <w:rPr>
                <w:rFonts w:eastAsia="Times New Roman"/>
                <w:sz w:val="25"/>
                <w:szCs w:val="25"/>
              </w:rPr>
            </w:pPr>
            <w:r>
              <w:rPr>
                <w:rFonts w:eastAsia="Times New Roman"/>
                <w:sz w:val="25"/>
                <w:szCs w:val="25"/>
                <w:lang w:val="en-US"/>
              </w:rPr>
              <w:t>8</w:t>
            </w:r>
            <w:r w:rsidRPr="00C92760">
              <w:rPr>
                <w:rFonts w:eastAsia="Times New Roman"/>
                <w:sz w:val="25"/>
                <w:szCs w:val="25"/>
              </w:rPr>
              <w:t>.</w:t>
            </w:r>
          </w:p>
        </w:tc>
        <w:tc>
          <w:tcPr>
            <w:tcW w:w="8899" w:type="dxa"/>
            <w:tcBorders>
              <w:top w:val="single" w:sz="4" w:space="0" w:color="auto"/>
              <w:left w:val="single" w:sz="4" w:space="0" w:color="auto"/>
              <w:bottom w:val="single" w:sz="4" w:space="0" w:color="auto"/>
              <w:right w:val="single" w:sz="4" w:space="0" w:color="auto"/>
            </w:tcBorders>
            <w:shd w:val="clear" w:color="auto" w:fill="auto"/>
          </w:tcPr>
          <w:p w:rsidR="00782AD7" w:rsidRPr="00782AD7" w:rsidRDefault="00782AD7" w:rsidP="00782AD7">
            <w:pPr>
              <w:rPr>
                <w:rFonts w:eastAsia="Times New Roman"/>
                <w:sz w:val="25"/>
                <w:szCs w:val="25"/>
              </w:rPr>
            </w:pPr>
            <w:r w:rsidRPr="00782AD7">
              <w:rPr>
                <w:rFonts w:eastAsia="Times New Roman"/>
                <w:sz w:val="25"/>
                <w:szCs w:val="25"/>
              </w:rPr>
              <w:t>Прием заявления физического лица о предоставлении налоговой льготы по транспортному налогу, земельному налогу, налогу на имущество физических лиц</w:t>
            </w:r>
          </w:p>
        </w:tc>
      </w:tr>
      <w:tr w:rsidR="00782AD7" w:rsidRPr="00C571C4" w:rsidTr="00782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7"/>
        </w:trPr>
        <w:tc>
          <w:tcPr>
            <w:tcW w:w="672" w:type="dxa"/>
            <w:tcBorders>
              <w:top w:val="single" w:sz="4" w:space="0" w:color="auto"/>
              <w:left w:val="single" w:sz="4" w:space="0" w:color="auto"/>
              <w:bottom w:val="single" w:sz="4" w:space="0" w:color="auto"/>
              <w:right w:val="single" w:sz="4" w:space="0" w:color="auto"/>
            </w:tcBorders>
            <w:shd w:val="clear" w:color="auto" w:fill="auto"/>
          </w:tcPr>
          <w:p w:rsidR="00782AD7" w:rsidRPr="00C92760" w:rsidRDefault="00782AD7" w:rsidP="007337CD">
            <w:pPr>
              <w:spacing w:after="100" w:afterAutospacing="1"/>
              <w:contextualSpacing/>
              <w:jc w:val="center"/>
              <w:rPr>
                <w:rFonts w:eastAsia="Times New Roman"/>
                <w:sz w:val="25"/>
                <w:szCs w:val="25"/>
              </w:rPr>
            </w:pPr>
            <w:r>
              <w:rPr>
                <w:rFonts w:eastAsia="Times New Roman"/>
                <w:sz w:val="25"/>
                <w:szCs w:val="25"/>
                <w:lang w:val="en-US"/>
              </w:rPr>
              <w:t>9</w:t>
            </w:r>
            <w:r w:rsidRPr="00C92760">
              <w:rPr>
                <w:rFonts w:eastAsia="Times New Roman"/>
                <w:sz w:val="25"/>
                <w:szCs w:val="25"/>
              </w:rPr>
              <w:t>.</w:t>
            </w:r>
          </w:p>
        </w:tc>
        <w:tc>
          <w:tcPr>
            <w:tcW w:w="8899" w:type="dxa"/>
            <w:tcBorders>
              <w:top w:val="single" w:sz="4" w:space="0" w:color="auto"/>
              <w:left w:val="single" w:sz="4" w:space="0" w:color="auto"/>
              <w:bottom w:val="single" w:sz="4" w:space="0" w:color="auto"/>
              <w:right w:val="single" w:sz="4" w:space="0" w:color="auto"/>
            </w:tcBorders>
            <w:shd w:val="clear" w:color="auto" w:fill="auto"/>
          </w:tcPr>
          <w:p w:rsidR="00782AD7" w:rsidRPr="00782AD7" w:rsidRDefault="00782AD7" w:rsidP="00782AD7">
            <w:pPr>
              <w:rPr>
                <w:rFonts w:eastAsia="Times New Roman"/>
                <w:sz w:val="25"/>
                <w:szCs w:val="25"/>
              </w:rPr>
            </w:pPr>
            <w:r w:rsidRPr="00782AD7">
              <w:rPr>
                <w:rFonts w:eastAsia="Times New Roman"/>
                <w:sz w:val="25"/>
                <w:szCs w:val="25"/>
              </w:rPr>
              <w:t>Прием уведомления о выбранных объектах налогообложения, в отношении которых предоставляется налоговая льгота по налогу на имущество физических лиц</w:t>
            </w:r>
          </w:p>
        </w:tc>
      </w:tr>
      <w:tr w:rsidR="00782AD7" w:rsidRPr="00C571C4" w:rsidTr="00782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7"/>
        </w:trPr>
        <w:tc>
          <w:tcPr>
            <w:tcW w:w="672" w:type="dxa"/>
            <w:tcBorders>
              <w:top w:val="single" w:sz="4" w:space="0" w:color="auto"/>
              <w:left w:val="single" w:sz="4" w:space="0" w:color="auto"/>
              <w:bottom w:val="single" w:sz="4" w:space="0" w:color="auto"/>
              <w:right w:val="single" w:sz="4" w:space="0" w:color="auto"/>
            </w:tcBorders>
            <w:shd w:val="clear" w:color="auto" w:fill="auto"/>
          </w:tcPr>
          <w:p w:rsidR="00782AD7" w:rsidRPr="00C92760" w:rsidRDefault="00782AD7" w:rsidP="007337CD">
            <w:pPr>
              <w:spacing w:after="100" w:afterAutospacing="1"/>
              <w:contextualSpacing/>
              <w:jc w:val="center"/>
              <w:rPr>
                <w:rFonts w:eastAsia="Times New Roman"/>
                <w:sz w:val="25"/>
                <w:szCs w:val="25"/>
              </w:rPr>
            </w:pPr>
            <w:r>
              <w:rPr>
                <w:rFonts w:eastAsia="Times New Roman"/>
                <w:sz w:val="25"/>
                <w:szCs w:val="25"/>
                <w:lang w:val="en-US"/>
              </w:rPr>
              <w:t>10</w:t>
            </w:r>
            <w:r w:rsidRPr="00C92760">
              <w:rPr>
                <w:rFonts w:eastAsia="Times New Roman"/>
                <w:sz w:val="25"/>
                <w:szCs w:val="25"/>
              </w:rPr>
              <w:t>.</w:t>
            </w:r>
          </w:p>
        </w:tc>
        <w:tc>
          <w:tcPr>
            <w:tcW w:w="8899" w:type="dxa"/>
            <w:tcBorders>
              <w:top w:val="single" w:sz="4" w:space="0" w:color="auto"/>
              <w:left w:val="single" w:sz="4" w:space="0" w:color="auto"/>
              <w:bottom w:val="single" w:sz="4" w:space="0" w:color="auto"/>
              <w:right w:val="single" w:sz="4" w:space="0" w:color="auto"/>
            </w:tcBorders>
            <w:shd w:val="clear" w:color="auto" w:fill="auto"/>
          </w:tcPr>
          <w:p w:rsidR="00782AD7" w:rsidRPr="00782AD7" w:rsidRDefault="00782AD7" w:rsidP="00782AD7">
            <w:pPr>
              <w:rPr>
                <w:rFonts w:eastAsia="Times New Roman"/>
                <w:sz w:val="25"/>
                <w:szCs w:val="25"/>
              </w:rPr>
            </w:pPr>
            <w:r w:rsidRPr="00782AD7">
              <w:rPr>
                <w:rFonts w:eastAsia="Times New Roman"/>
                <w:sz w:val="25"/>
                <w:szCs w:val="25"/>
              </w:rPr>
              <w:t>Приём уведомления о выбранном земельном участке, в отношении которого применяется налоговый вычет по земельному налогу</w:t>
            </w:r>
          </w:p>
        </w:tc>
      </w:tr>
      <w:tr w:rsidR="00782AD7" w:rsidRPr="00C571C4" w:rsidTr="00782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7"/>
        </w:trPr>
        <w:tc>
          <w:tcPr>
            <w:tcW w:w="672" w:type="dxa"/>
            <w:tcBorders>
              <w:top w:val="single" w:sz="4" w:space="0" w:color="auto"/>
              <w:left w:val="single" w:sz="4" w:space="0" w:color="auto"/>
              <w:bottom w:val="single" w:sz="4" w:space="0" w:color="auto"/>
              <w:right w:val="single" w:sz="4" w:space="0" w:color="auto"/>
            </w:tcBorders>
            <w:shd w:val="clear" w:color="auto" w:fill="auto"/>
          </w:tcPr>
          <w:p w:rsidR="00782AD7" w:rsidRPr="00C92760" w:rsidRDefault="00782AD7" w:rsidP="007337CD">
            <w:pPr>
              <w:spacing w:after="100" w:afterAutospacing="1"/>
              <w:contextualSpacing/>
              <w:jc w:val="center"/>
              <w:rPr>
                <w:rFonts w:eastAsia="Times New Roman"/>
                <w:sz w:val="25"/>
                <w:szCs w:val="25"/>
              </w:rPr>
            </w:pPr>
            <w:r>
              <w:rPr>
                <w:rFonts w:eastAsia="Times New Roman"/>
                <w:sz w:val="25"/>
                <w:szCs w:val="25"/>
                <w:lang w:val="en-US"/>
              </w:rPr>
              <w:t>11</w:t>
            </w:r>
            <w:r w:rsidRPr="00C92760">
              <w:rPr>
                <w:rFonts w:eastAsia="Times New Roman"/>
                <w:sz w:val="25"/>
                <w:szCs w:val="25"/>
              </w:rPr>
              <w:t>.</w:t>
            </w:r>
          </w:p>
        </w:tc>
        <w:tc>
          <w:tcPr>
            <w:tcW w:w="8899" w:type="dxa"/>
            <w:tcBorders>
              <w:top w:val="single" w:sz="4" w:space="0" w:color="auto"/>
              <w:left w:val="single" w:sz="4" w:space="0" w:color="auto"/>
              <w:bottom w:val="single" w:sz="4" w:space="0" w:color="auto"/>
              <w:right w:val="single" w:sz="4" w:space="0" w:color="auto"/>
            </w:tcBorders>
            <w:shd w:val="clear" w:color="auto" w:fill="auto"/>
          </w:tcPr>
          <w:p w:rsidR="00782AD7" w:rsidRPr="00782AD7" w:rsidRDefault="00782AD7" w:rsidP="00782AD7">
            <w:pPr>
              <w:rPr>
                <w:rFonts w:eastAsia="Times New Roman"/>
                <w:sz w:val="25"/>
                <w:szCs w:val="25"/>
              </w:rPr>
            </w:pPr>
            <w:r w:rsidRPr="00782AD7">
              <w:rPr>
                <w:rFonts w:eastAsia="Times New Roman"/>
                <w:sz w:val="25"/>
                <w:szCs w:val="25"/>
              </w:rPr>
              <w:t>Приём заявления о выдаче налогового уведомления</w:t>
            </w:r>
          </w:p>
        </w:tc>
      </w:tr>
      <w:tr w:rsidR="00782AD7" w:rsidRPr="00C571C4" w:rsidTr="00782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7"/>
        </w:trPr>
        <w:tc>
          <w:tcPr>
            <w:tcW w:w="672" w:type="dxa"/>
            <w:tcBorders>
              <w:top w:val="single" w:sz="4" w:space="0" w:color="auto"/>
              <w:left w:val="single" w:sz="4" w:space="0" w:color="auto"/>
              <w:bottom w:val="single" w:sz="4" w:space="0" w:color="auto"/>
              <w:right w:val="single" w:sz="4" w:space="0" w:color="auto"/>
            </w:tcBorders>
            <w:shd w:val="clear" w:color="auto" w:fill="auto"/>
          </w:tcPr>
          <w:p w:rsidR="00782AD7" w:rsidRPr="00C92760" w:rsidRDefault="00782AD7" w:rsidP="007337CD">
            <w:pPr>
              <w:spacing w:after="100" w:afterAutospacing="1"/>
              <w:contextualSpacing/>
              <w:jc w:val="center"/>
              <w:rPr>
                <w:rFonts w:eastAsia="Times New Roman"/>
                <w:sz w:val="25"/>
                <w:szCs w:val="25"/>
              </w:rPr>
            </w:pPr>
            <w:r>
              <w:rPr>
                <w:rFonts w:eastAsia="Times New Roman"/>
                <w:sz w:val="25"/>
                <w:szCs w:val="25"/>
                <w:lang w:val="en-US"/>
              </w:rPr>
              <w:t>12</w:t>
            </w:r>
            <w:r w:rsidRPr="00C92760">
              <w:rPr>
                <w:rFonts w:eastAsia="Times New Roman"/>
                <w:sz w:val="25"/>
                <w:szCs w:val="25"/>
              </w:rPr>
              <w:t>.</w:t>
            </w:r>
          </w:p>
        </w:tc>
        <w:tc>
          <w:tcPr>
            <w:tcW w:w="8899" w:type="dxa"/>
            <w:tcBorders>
              <w:top w:val="single" w:sz="4" w:space="0" w:color="auto"/>
              <w:left w:val="single" w:sz="4" w:space="0" w:color="auto"/>
              <w:bottom w:val="single" w:sz="4" w:space="0" w:color="auto"/>
              <w:right w:val="single" w:sz="4" w:space="0" w:color="auto"/>
            </w:tcBorders>
            <w:shd w:val="clear" w:color="auto" w:fill="auto"/>
          </w:tcPr>
          <w:p w:rsidR="00782AD7" w:rsidRPr="00782AD7" w:rsidRDefault="00782AD7" w:rsidP="00782AD7">
            <w:pPr>
              <w:rPr>
                <w:rFonts w:eastAsia="Times New Roman"/>
                <w:sz w:val="25"/>
                <w:szCs w:val="25"/>
              </w:rPr>
            </w:pPr>
            <w:r w:rsidRPr="00782AD7">
              <w:rPr>
                <w:rFonts w:eastAsia="Times New Roman"/>
                <w:sz w:val="25"/>
                <w:szCs w:val="25"/>
              </w:rPr>
              <w:t>Прием заявления о гибели или уничтожении объекта налогообложения по налогу на имущество физических лиц</w:t>
            </w:r>
          </w:p>
        </w:tc>
      </w:tr>
      <w:tr w:rsidR="00782AD7" w:rsidRPr="00C571C4" w:rsidTr="00782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7"/>
        </w:trPr>
        <w:tc>
          <w:tcPr>
            <w:tcW w:w="672" w:type="dxa"/>
            <w:tcBorders>
              <w:top w:val="single" w:sz="4" w:space="0" w:color="auto"/>
              <w:left w:val="single" w:sz="4" w:space="0" w:color="auto"/>
              <w:bottom w:val="single" w:sz="4" w:space="0" w:color="auto"/>
              <w:right w:val="single" w:sz="4" w:space="0" w:color="auto"/>
            </w:tcBorders>
            <w:shd w:val="clear" w:color="auto" w:fill="auto"/>
          </w:tcPr>
          <w:p w:rsidR="00782AD7" w:rsidRDefault="00782AD7" w:rsidP="007337CD">
            <w:pPr>
              <w:spacing w:after="100" w:afterAutospacing="1"/>
              <w:contextualSpacing/>
              <w:jc w:val="center"/>
              <w:rPr>
                <w:rFonts w:eastAsia="Times New Roman"/>
                <w:sz w:val="25"/>
                <w:szCs w:val="25"/>
              </w:rPr>
            </w:pPr>
            <w:r>
              <w:rPr>
                <w:rFonts w:eastAsia="Times New Roman"/>
                <w:sz w:val="25"/>
                <w:szCs w:val="25"/>
                <w:lang w:val="en-US"/>
              </w:rPr>
              <w:t>13</w:t>
            </w:r>
            <w:r>
              <w:rPr>
                <w:rFonts w:eastAsia="Times New Roman"/>
                <w:sz w:val="25"/>
                <w:szCs w:val="25"/>
              </w:rPr>
              <w:t>.</w:t>
            </w:r>
          </w:p>
        </w:tc>
        <w:tc>
          <w:tcPr>
            <w:tcW w:w="8899" w:type="dxa"/>
            <w:tcBorders>
              <w:top w:val="single" w:sz="4" w:space="0" w:color="auto"/>
              <w:left w:val="single" w:sz="4" w:space="0" w:color="auto"/>
              <w:bottom w:val="single" w:sz="4" w:space="0" w:color="auto"/>
              <w:right w:val="single" w:sz="4" w:space="0" w:color="auto"/>
            </w:tcBorders>
            <w:shd w:val="clear" w:color="auto" w:fill="auto"/>
          </w:tcPr>
          <w:p w:rsidR="00782AD7" w:rsidRPr="00782AD7" w:rsidRDefault="00782AD7" w:rsidP="00782AD7">
            <w:pPr>
              <w:rPr>
                <w:rFonts w:eastAsia="Times New Roman"/>
                <w:sz w:val="25"/>
                <w:szCs w:val="25"/>
              </w:rPr>
            </w:pPr>
            <w:r w:rsidRPr="00782AD7">
              <w:rPr>
                <w:rFonts w:eastAsia="Times New Roman"/>
                <w:sz w:val="25"/>
                <w:szCs w:val="25"/>
              </w:rPr>
              <w:t xml:space="preserve">Прием заявления о гибели или уничтожении объекта налогообложения по </w:t>
            </w:r>
            <w:r w:rsidRPr="00782AD7">
              <w:rPr>
                <w:rFonts w:eastAsia="Times New Roman"/>
                <w:sz w:val="25"/>
                <w:szCs w:val="25"/>
              </w:rPr>
              <w:lastRenderedPageBreak/>
              <w:t>транспортному налогу</w:t>
            </w:r>
          </w:p>
        </w:tc>
      </w:tr>
      <w:tr w:rsidR="00782AD7" w:rsidRPr="00C571C4" w:rsidTr="00782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7"/>
        </w:trPr>
        <w:tc>
          <w:tcPr>
            <w:tcW w:w="672" w:type="dxa"/>
            <w:tcBorders>
              <w:top w:val="single" w:sz="4" w:space="0" w:color="auto"/>
              <w:left w:val="single" w:sz="4" w:space="0" w:color="auto"/>
              <w:bottom w:val="single" w:sz="4" w:space="0" w:color="auto"/>
              <w:right w:val="single" w:sz="4" w:space="0" w:color="auto"/>
            </w:tcBorders>
            <w:shd w:val="clear" w:color="auto" w:fill="auto"/>
          </w:tcPr>
          <w:p w:rsidR="00782AD7" w:rsidRPr="00782AD7" w:rsidRDefault="00782AD7" w:rsidP="00782AD7">
            <w:pPr>
              <w:spacing w:after="100" w:afterAutospacing="1"/>
              <w:contextualSpacing/>
              <w:jc w:val="center"/>
              <w:rPr>
                <w:rFonts w:eastAsia="Times New Roman"/>
                <w:sz w:val="25"/>
                <w:szCs w:val="25"/>
                <w:lang w:val="en-US"/>
              </w:rPr>
            </w:pPr>
            <w:r>
              <w:rPr>
                <w:rFonts w:eastAsia="Times New Roman"/>
                <w:sz w:val="25"/>
                <w:szCs w:val="25"/>
                <w:lang w:val="en-US"/>
              </w:rPr>
              <w:lastRenderedPageBreak/>
              <w:t>14.</w:t>
            </w:r>
          </w:p>
        </w:tc>
        <w:tc>
          <w:tcPr>
            <w:tcW w:w="8899" w:type="dxa"/>
            <w:tcBorders>
              <w:top w:val="single" w:sz="4" w:space="0" w:color="auto"/>
              <w:left w:val="single" w:sz="4" w:space="0" w:color="auto"/>
              <w:bottom w:val="single" w:sz="4" w:space="0" w:color="auto"/>
              <w:right w:val="single" w:sz="4" w:space="0" w:color="auto"/>
            </w:tcBorders>
            <w:shd w:val="clear" w:color="auto" w:fill="auto"/>
          </w:tcPr>
          <w:p w:rsidR="00782AD7" w:rsidRPr="00782AD7" w:rsidRDefault="00782AD7" w:rsidP="007337CD">
            <w:pPr>
              <w:rPr>
                <w:rFonts w:eastAsia="Times New Roman"/>
                <w:sz w:val="25"/>
                <w:szCs w:val="25"/>
              </w:rPr>
            </w:pPr>
            <w:r w:rsidRPr="00782AD7">
              <w:rPr>
                <w:rFonts w:eastAsia="Times New Roman"/>
                <w:sz w:val="25"/>
                <w:szCs w:val="25"/>
              </w:rPr>
              <w:t>Прием сообщения о наличии у налогоплательщика - физического лица объектов недвижимого имущества и (или) транспортных средств, признаваемых объектами налогообложения по соответствующим налогам</w:t>
            </w:r>
          </w:p>
        </w:tc>
      </w:tr>
      <w:tr w:rsidR="00782AD7" w:rsidRPr="001960E6" w:rsidTr="00782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7"/>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782AD7" w:rsidRPr="00782AD7" w:rsidRDefault="00782AD7" w:rsidP="00782AD7">
            <w:pPr>
              <w:jc w:val="center"/>
              <w:rPr>
                <w:lang w:val="en-US"/>
              </w:rPr>
            </w:pPr>
            <w:r>
              <w:rPr>
                <w:lang w:val="en-US"/>
              </w:rPr>
              <w:t>15.</w:t>
            </w:r>
          </w:p>
        </w:tc>
        <w:tc>
          <w:tcPr>
            <w:tcW w:w="8899" w:type="dxa"/>
            <w:tcBorders>
              <w:top w:val="single" w:sz="4" w:space="0" w:color="auto"/>
              <w:left w:val="single" w:sz="4" w:space="0" w:color="auto"/>
              <w:bottom w:val="single" w:sz="4" w:space="0" w:color="auto"/>
              <w:right w:val="single" w:sz="4" w:space="0" w:color="auto"/>
            </w:tcBorders>
            <w:shd w:val="clear" w:color="auto" w:fill="auto"/>
          </w:tcPr>
          <w:p w:rsidR="00782AD7" w:rsidRDefault="00782AD7" w:rsidP="00195BB1">
            <w:r w:rsidRPr="0043058A">
              <w:t xml:space="preserve">Прием заявления о перерасчете суммы ранее исчисленного транспортного налога, земельного налога, налога на имущество физических лиц, налога на доходы физических лиц </w:t>
            </w:r>
          </w:p>
        </w:tc>
      </w:tr>
      <w:tr w:rsidR="00782AD7" w:rsidRPr="001960E6" w:rsidTr="00782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7"/>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782AD7" w:rsidRPr="001960E6" w:rsidRDefault="00782AD7" w:rsidP="00782AD7">
            <w:pPr>
              <w:spacing w:after="100" w:afterAutospacing="1"/>
              <w:contextualSpacing/>
              <w:jc w:val="center"/>
              <w:rPr>
                <w:rFonts w:eastAsia="Times New Roman"/>
                <w:sz w:val="25"/>
                <w:szCs w:val="25"/>
              </w:rPr>
            </w:pPr>
            <w:r w:rsidRPr="001960E6">
              <w:rPr>
                <w:rFonts w:eastAsia="Times New Roman"/>
                <w:sz w:val="25"/>
                <w:szCs w:val="25"/>
              </w:rPr>
              <w:t>1</w:t>
            </w:r>
            <w:r>
              <w:rPr>
                <w:rFonts w:eastAsia="Times New Roman"/>
                <w:sz w:val="25"/>
                <w:szCs w:val="25"/>
                <w:lang w:val="en-US"/>
              </w:rPr>
              <w:t>6</w:t>
            </w:r>
            <w:r w:rsidRPr="001960E6">
              <w:rPr>
                <w:rFonts w:eastAsia="Times New Roman"/>
                <w:sz w:val="25"/>
                <w:szCs w:val="25"/>
              </w:rPr>
              <w:t>.</w:t>
            </w:r>
          </w:p>
        </w:tc>
        <w:tc>
          <w:tcPr>
            <w:tcW w:w="8899" w:type="dxa"/>
            <w:tcBorders>
              <w:top w:val="single" w:sz="4" w:space="0" w:color="auto"/>
              <w:left w:val="single" w:sz="4" w:space="0" w:color="auto"/>
              <w:bottom w:val="single" w:sz="4" w:space="0" w:color="auto"/>
              <w:right w:val="single" w:sz="4" w:space="0" w:color="auto"/>
            </w:tcBorders>
            <w:shd w:val="clear" w:color="auto" w:fill="auto"/>
          </w:tcPr>
          <w:p w:rsidR="00782AD7" w:rsidRPr="001960E6" w:rsidRDefault="00782AD7" w:rsidP="00782AD7">
            <w:pPr>
              <w:rPr>
                <w:rFonts w:eastAsia="Times New Roman"/>
                <w:sz w:val="25"/>
                <w:szCs w:val="25"/>
              </w:rPr>
            </w:pPr>
            <w:r w:rsidRPr="00782AD7">
              <w:rPr>
                <w:rFonts w:eastAsia="Times New Roman"/>
                <w:sz w:val="25"/>
                <w:szCs w:val="25"/>
              </w:rPr>
              <w:t>Прием запроса о предоставлении справки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w:t>
            </w:r>
          </w:p>
        </w:tc>
      </w:tr>
      <w:tr w:rsidR="00782AD7" w:rsidRPr="001960E6" w:rsidTr="00782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7"/>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782AD7" w:rsidRPr="001960E6" w:rsidRDefault="00782AD7" w:rsidP="00782AD7">
            <w:pPr>
              <w:spacing w:after="100" w:afterAutospacing="1"/>
              <w:contextualSpacing/>
              <w:jc w:val="center"/>
              <w:rPr>
                <w:rFonts w:eastAsia="Times New Roman"/>
                <w:sz w:val="25"/>
                <w:szCs w:val="25"/>
              </w:rPr>
            </w:pPr>
            <w:r>
              <w:rPr>
                <w:rFonts w:eastAsia="Times New Roman"/>
                <w:sz w:val="25"/>
                <w:szCs w:val="25"/>
                <w:lang w:val="en-US"/>
              </w:rPr>
              <w:t>17</w:t>
            </w:r>
            <w:r w:rsidRPr="001960E6">
              <w:rPr>
                <w:rFonts w:eastAsia="Times New Roman"/>
                <w:sz w:val="25"/>
                <w:szCs w:val="25"/>
              </w:rPr>
              <w:t>.</w:t>
            </w:r>
          </w:p>
        </w:tc>
        <w:tc>
          <w:tcPr>
            <w:tcW w:w="8899" w:type="dxa"/>
            <w:tcBorders>
              <w:top w:val="single" w:sz="4" w:space="0" w:color="auto"/>
              <w:left w:val="single" w:sz="4" w:space="0" w:color="auto"/>
              <w:bottom w:val="single" w:sz="4" w:space="0" w:color="auto"/>
              <w:right w:val="single" w:sz="4" w:space="0" w:color="auto"/>
            </w:tcBorders>
            <w:shd w:val="clear" w:color="auto" w:fill="auto"/>
          </w:tcPr>
          <w:p w:rsidR="00782AD7" w:rsidRPr="001960E6" w:rsidRDefault="00782AD7" w:rsidP="00782AD7">
            <w:pPr>
              <w:rPr>
                <w:rFonts w:eastAsia="Times New Roman"/>
                <w:sz w:val="25"/>
                <w:szCs w:val="25"/>
              </w:rPr>
            </w:pPr>
            <w:r w:rsidRPr="001960E6">
              <w:rPr>
                <w:rFonts w:eastAsia="Times New Roman"/>
                <w:sz w:val="25"/>
                <w:szCs w:val="25"/>
              </w:rPr>
              <w:t>Прием запроса о предоставлении акта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и формата его представления.</w:t>
            </w:r>
          </w:p>
        </w:tc>
      </w:tr>
      <w:tr w:rsidR="00782AD7" w:rsidRPr="001960E6" w:rsidTr="00782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7"/>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782AD7" w:rsidRPr="001960E6" w:rsidRDefault="00782AD7" w:rsidP="00782AD7">
            <w:pPr>
              <w:spacing w:after="100" w:afterAutospacing="1"/>
              <w:contextualSpacing/>
              <w:jc w:val="center"/>
              <w:rPr>
                <w:rFonts w:eastAsia="Times New Roman"/>
                <w:sz w:val="25"/>
                <w:szCs w:val="25"/>
              </w:rPr>
            </w:pPr>
            <w:r>
              <w:rPr>
                <w:rFonts w:eastAsia="Times New Roman"/>
                <w:sz w:val="25"/>
                <w:szCs w:val="25"/>
                <w:lang w:val="en-US"/>
              </w:rPr>
              <w:t>18</w:t>
            </w:r>
            <w:r w:rsidRPr="001960E6">
              <w:rPr>
                <w:rFonts w:eastAsia="Times New Roman"/>
                <w:sz w:val="25"/>
                <w:szCs w:val="25"/>
              </w:rPr>
              <w:t>.</w:t>
            </w:r>
          </w:p>
        </w:tc>
        <w:tc>
          <w:tcPr>
            <w:tcW w:w="8899" w:type="dxa"/>
            <w:tcBorders>
              <w:top w:val="single" w:sz="4" w:space="0" w:color="auto"/>
              <w:left w:val="single" w:sz="4" w:space="0" w:color="auto"/>
              <w:bottom w:val="single" w:sz="4" w:space="0" w:color="auto"/>
              <w:right w:val="single" w:sz="4" w:space="0" w:color="auto"/>
            </w:tcBorders>
            <w:shd w:val="clear" w:color="auto" w:fill="auto"/>
          </w:tcPr>
          <w:p w:rsidR="00782AD7" w:rsidRPr="001960E6" w:rsidRDefault="00782AD7" w:rsidP="00782AD7">
            <w:pPr>
              <w:rPr>
                <w:rFonts w:eastAsia="Times New Roman"/>
                <w:sz w:val="25"/>
                <w:szCs w:val="25"/>
              </w:rPr>
            </w:pPr>
            <w:r w:rsidRPr="001960E6">
              <w:rPr>
                <w:rFonts w:eastAsia="Times New Roman"/>
                <w:sz w:val="25"/>
                <w:szCs w:val="25"/>
              </w:rPr>
              <w:t>Прием заявлений о доступе к личному кабинету налогоплательщика для физических лиц</w:t>
            </w:r>
          </w:p>
        </w:tc>
      </w:tr>
      <w:tr w:rsidR="00782AD7" w:rsidRPr="001960E6" w:rsidTr="00782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7"/>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782AD7" w:rsidRPr="001960E6" w:rsidRDefault="00782AD7" w:rsidP="00782AD7">
            <w:pPr>
              <w:spacing w:after="100" w:afterAutospacing="1"/>
              <w:contextualSpacing/>
              <w:jc w:val="center"/>
              <w:rPr>
                <w:rFonts w:eastAsia="Times New Roman"/>
                <w:sz w:val="25"/>
                <w:szCs w:val="25"/>
              </w:rPr>
            </w:pPr>
            <w:r>
              <w:rPr>
                <w:rFonts w:eastAsia="Times New Roman"/>
                <w:sz w:val="25"/>
                <w:szCs w:val="25"/>
                <w:lang w:val="en-US"/>
              </w:rPr>
              <w:t>19</w:t>
            </w:r>
            <w:r w:rsidRPr="001960E6">
              <w:rPr>
                <w:rFonts w:eastAsia="Times New Roman"/>
                <w:sz w:val="25"/>
                <w:szCs w:val="25"/>
              </w:rPr>
              <w:t>.</w:t>
            </w:r>
          </w:p>
        </w:tc>
        <w:tc>
          <w:tcPr>
            <w:tcW w:w="8899" w:type="dxa"/>
            <w:tcBorders>
              <w:top w:val="single" w:sz="4" w:space="0" w:color="auto"/>
              <w:left w:val="single" w:sz="4" w:space="0" w:color="auto"/>
              <w:bottom w:val="single" w:sz="4" w:space="0" w:color="auto"/>
              <w:right w:val="single" w:sz="4" w:space="0" w:color="auto"/>
            </w:tcBorders>
            <w:shd w:val="clear" w:color="auto" w:fill="auto"/>
          </w:tcPr>
          <w:p w:rsidR="00782AD7" w:rsidRPr="001960E6" w:rsidRDefault="00782AD7" w:rsidP="00782AD7">
            <w:pPr>
              <w:rPr>
                <w:rFonts w:eastAsia="Times New Roman"/>
                <w:sz w:val="25"/>
                <w:szCs w:val="25"/>
              </w:rPr>
            </w:pPr>
            <w:r w:rsidRPr="001960E6">
              <w:rPr>
                <w:rFonts w:eastAsia="Times New Roman"/>
                <w:sz w:val="25"/>
                <w:szCs w:val="25"/>
              </w:rPr>
              <w:t>Прием заявления о предоставлении налогоплательщиком - индивидуальным предпринимателем, нотариусом, занимающимся частной практикой, адвокатом, учредившим адвокатский кабинет, физическим лицом, не являющимся индивидуальным предпринимателем, налоговому органу адреса для направления по почте документов, которые используются налоговыми органами при реализации своих полномочий в отношениях, регулируемых законодательством о налогах и сборах</w:t>
            </w:r>
          </w:p>
        </w:tc>
      </w:tr>
      <w:tr w:rsidR="00782AD7" w:rsidRPr="00C571C4" w:rsidTr="00782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7"/>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782AD7" w:rsidRPr="001960E6" w:rsidRDefault="00782AD7" w:rsidP="00782AD7">
            <w:pPr>
              <w:spacing w:after="100" w:afterAutospacing="1"/>
              <w:contextualSpacing/>
              <w:jc w:val="center"/>
              <w:rPr>
                <w:rFonts w:eastAsia="Times New Roman"/>
                <w:sz w:val="25"/>
                <w:szCs w:val="25"/>
              </w:rPr>
            </w:pPr>
            <w:bookmarkStart w:id="0" w:name="_GoBack"/>
            <w:r>
              <w:rPr>
                <w:rFonts w:eastAsia="Times New Roman"/>
                <w:sz w:val="25"/>
                <w:szCs w:val="25"/>
                <w:lang w:val="en-US"/>
              </w:rPr>
              <w:t>20</w:t>
            </w:r>
            <w:r w:rsidRPr="001960E6">
              <w:rPr>
                <w:rFonts w:eastAsia="Times New Roman"/>
                <w:sz w:val="25"/>
                <w:szCs w:val="25"/>
              </w:rPr>
              <w:t>.</w:t>
            </w:r>
          </w:p>
        </w:tc>
        <w:tc>
          <w:tcPr>
            <w:tcW w:w="8899" w:type="dxa"/>
            <w:tcBorders>
              <w:top w:val="single" w:sz="4" w:space="0" w:color="auto"/>
              <w:left w:val="single" w:sz="4" w:space="0" w:color="auto"/>
              <w:bottom w:val="single" w:sz="4" w:space="0" w:color="auto"/>
              <w:right w:val="single" w:sz="4" w:space="0" w:color="auto"/>
            </w:tcBorders>
            <w:shd w:val="clear" w:color="auto" w:fill="auto"/>
          </w:tcPr>
          <w:p w:rsidR="00782AD7" w:rsidRPr="00C571C4" w:rsidRDefault="00782AD7" w:rsidP="00782AD7">
            <w:pPr>
              <w:rPr>
                <w:rFonts w:eastAsia="Times New Roman"/>
                <w:sz w:val="25"/>
                <w:szCs w:val="25"/>
              </w:rPr>
            </w:pPr>
            <w:r w:rsidRPr="00782AD7">
              <w:rPr>
                <w:rFonts w:eastAsia="Times New Roman"/>
                <w:sz w:val="25"/>
                <w:szCs w:val="25"/>
              </w:rPr>
              <w:t>Прием запроса о предоставлении справки о принадлежности сумм денежных средств, перечисленных в качестве единого налогового платежа.</w:t>
            </w:r>
          </w:p>
        </w:tc>
      </w:tr>
      <w:bookmarkEnd w:id="0"/>
    </w:tbl>
    <w:p w:rsidR="00FE5677" w:rsidRDefault="005F096C"/>
    <w:sectPr w:rsidR="00FE5677" w:rsidSect="005F096C">
      <w:headerReference w:type="default" r:id="rId7"/>
      <w:pgSz w:w="11906" w:h="16838" w:code="9"/>
      <w:pgMar w:top="1276"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96C" w:rsidRDefault="005F096C" w:rsidP="005F096C">
      <w:r>
        <w:separator/>
      </w:r>
    </w:p>
  </w:endnote>
  <w:endnote w:type="continuationSeparator" w:id="0">
    <w:p w:rsidR="005F096C" w:rsidRDefault="005F096C" w:rsidP="005F0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96C" w:rsidRDefault="005F096C" w:rsidP="005F096C">
      <w:r>
        <w:separator/>
      </w:r>
    </w:p>
  </w:footnote>
  <w:footnote w:type="continuationSeparator" w:id="0">
    <w:p w:rsidR="005F096C" w:rsidRDefault="005F096C" w:rsidP="005F09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96C" w:rsidRDefault="005F096C" w:rsidP="005F096C">
    <w:pPr>
      <w:jc w:val="right"/>
    </w:pPr>
    <w:r>
      <w:t xml:space="preserve">                 Приложение №1</w:t>
    </w:r>
  </w:p>
  <w:p w:rsidR="005F096C" w:rsidRDefault="005F096C" w:rsidP="005F096C">
    <w:pPr>
      <w:jc w:val="right"/>
    </w:pPr>
    <w:r>
      <w:t xml:space="preserve">к письму УФНС России </w:t>
    </w:r>
  </w:p>
  <w:p w:rsidR="005F096C" w:rsidRDefault="005F096C" w:rsidP="005F096C">
    <w:pPr>
      <w:jc w:val="right"/>
    </w:pPr>
    <w:r>
      <w:t>по Сахалинской области</w:t>
    </w:r>
  </w:p>
  <w:p w:rsidR="005F096C" w:rsidRDefault="005F096C" w:rsidP="005F096C">
    <w:r>
      <w:t xml:space="preserve">                                                                        </w:t>
    </w:r>
    <w:r>
      <w:t xml:space="preserve">                                          </w:t>
    </w:r>
    <w:r>
      <w:t>от 11.02.2026 №08-16/</w:t>
    </w:r>
  </w:p>
  <w:p w:rsidR="005F096C" w:rsidRDefault="005F096C" w:rsidP="005F096C">
    <w:pPr>
      <w:pStyle w:val="a3"/>
      <w:jc w:val="right"/>
    </w:pPr>
  </w:p>
  <w:p w:rsidR="005F096C" w:rsidRDefault="005F096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AD7"/>
    <w:rsid w:val="005F096C"/>
    <w:rsid w:val="00782AD7"/>
    <w:rsid w:val="00F1437E"/>
    <w:rsid w:val="00F21C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AD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2AD7"/>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3">
    <w:name w:val="header"/>
    <w:basedOn w:val="a"/>
    <w:link w:val="a4"/>
    <w:uiPriority w:val="99"/>
    <w:unhideWhenUsed/>
    <w:rsid w:val="005F096C"/>
    <w:pPr>
      <w:tabs>
        <w:tab w:val="center" w:pos="4677"/>
        <w:tab w:val="right" w:pos="9355"/>
      </w:tabs>
    </w:pPr>
  </w:style>
  <w:style w:type="character" w:customStyle="1" w:styleId="a4">
    <w:name w:val="Верхний колонтитул Знак"/>
    <w:basedOn w:val="a0"/>
    <w:link w:val="a3"/>
    <w:uiPriority w:val="99"/>
    <w:rsid w:val="005F096C"/>
    <w:rPr>
      <w:rFonts w:ascii="Times New Roman" w:eastAsiaTheme="minorEastAsia" w:hAnsi="Times New Roman" w:cs="Times New Roman"/>
      <w:sz w:val="24"/>
      <w:szCs w:val="24"/>
      <w:lang w:eastAsia="ru-RU"/>
    </w:rPr>
  </w:style>
  <w:style w:type="paragraph" w:styleId="a5">
    <w:name w:val="footer"/>
    <w:basedOn w:val="a"/>
    <w:link w:val="a6"/>
    <w:uiPriority w:val="99"/>
    <w:unhideWhenUsed/>
    <w:rsid w:val="005F096C"/>
    <w:pPr>
      <w:tabs>
        <w:tab w:val="center" w:pos="4677"/>
        <w:tab w:val="right" w:pos="9355"/>
      </w:tabs>
    </w:pPr>
  </w:style>
  <w:style w:type="character" w:customStyle="1" w:styleId="a6">
    <w:name w:val="Нижний колонтитул Знак"/>
    <w:basedOn w:val="a0"/>
    <w:link w:val="a5"/>
    <w:uiPriority w:val="99"/>
    <w:rsid w:val="005F096C"/>
    <w:rPr>
      <w:rFonts w:ascii="Times New Roman" w:eastAsiaTheme="minorEastAsia" w:hAnsi="Times New Roman" w:cs="Times New Roman"/>
      <w:sz w:val="24"/>
      <w:szCs w:val="24"/>
      <w:lang w:eastAsia="ru-RU"/>
    </w:rPr>
  </w:style>
  <w:style w:type="paragraph" w:styleId="a7">
    <w:name w:val="Balloon Text"/>
    <w:basedOn w:val="a"/>
    <w:link w:val="a8"/>
    <w:uiPriority w:val="99"/>
    <w:semiHidden/>
    <w:unhideWhenUsed/>
    <w:rsid w:val="005F096C"/>
    <w:rPr>
      <w:rFonts w:ascii="Tahoma" w:hAnsi="Tahoma" w:cs="Tahoma"/>
      <w:sz w:val="16"/>
      <w:szCs w:val="16"/>
    </w:rPr>
  </w:style>
  <w:style w:type="character" w:customStyle="1" w:styleId="a8">
    <w:name w:val="Текст выноски Знак"/>
    <w:basedOn w:val="a0"/>
    <w:link w:val="a7"/>
    <w:uiPriority w:val="99"/>
    <w:semiHidden/>
    <w:rsid w:val="005F096C"/>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AD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2AD7"/>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3">
    <w:name w:val="header"/>
    <w:basedOn w:val="a"/>
    <w:link w:val="a4"/>
    <w:uiPriority w:val="99"/>
    <w:unhideWhenUsed/>
    <w:rsid w:val="005F096C"/>
    <w:pPr>
      <w:tabs>
        <w:tab w:val="center" w:pos="4677"/>
        <w:tab w:val="right" w:pos="9355"/>
      </w:tabs>
    </w:pPr>
  </w:style>
  <w:style w:type="character" w:customStyle="1" w:styleId="a4">
    <w:name w:val="Верхний колонтитул Знак"/>
    <w:basedOn w:val="a0"/>
    <w:link w:val="a3"/>
    <w:uiPriority w:val="99"/>
    <w:rsid w:val="005F096C"/>
    <w:rPr>
      <w:rFonts w:ascii="Times New Roman" w:eastAsiaTheme="minorEastAsia" w:hAnsi="Times New Roman" w:cs="Times New Roman"/>
      <w:sz w:val="24"/>
      <w:szCs w:val="24"/>
      <w:lang w:eastAsia="ru-RU"/>
    </w:rPr>
  </w:style>
  <w:style w:type="paragraph" w:styleId="a5">
    <w:name w:val="footer"/>
    <w:basedOn w:val="a"/>
    <w:link w:val="a6"/>
    <w:uiPriority w:val="99"/>
    <w:unhideWhenUsed/>
    <w:rsid w:val="005F096C"/>
    <w:pPr>
      <w:tabs>
        <w:tab w:val="center" w:pos="4677"/>
        <w:tab w:val="right" w:pos="9355"/>
      </w:tabs>
    </w:pPr>
  </w:style>
  <w:style w:type="character" w:customStyle="1" w:styleId="a6">
    <w:name w:val="Нижний колонтитул Знак"/>
    <w:basedOn w:val="a0"/>
    <w:link w:val="a5"/>
    <w:uiPriority w:val="99"/>
    <w:rsid w:val="005F096C"/>
    <w:rPr>
      <w:rFonts w:ascii="Times New Roman" w:eastAsiaTheme="minorEastAsia" w:hAnsi="Times New Roman" w:cs="Times New Roman"/>
      <w:sz w:val="24"/>
      <w:szCs w:val="24"/>
      <w:lang w:eastAsia="ru-RU"/>
    </w:rPr>
  </w:style>
  <w:style w:type="paragraph" w:styleId="a7">
    <w:name w:val="Balloon Text"/>
    <w:basedOn w:val="a"/>
    <w:link w:val="a8"/>
    <w:uiPriority w:val="99"/>
    <w:semiHidden/>
    <w:unhideWhenUsed/>
    <w:rsid w:val="005F096C"/>
    <w:rPr>
      <w:rFonts w:ascii="Tahoma" w:hAnsi="Tahoma" w:cs="Tahoma"/>
      <w:sz w:val="16"/>
      <w:szCs w:val="16"/>
    </w:rPr>
  </w:style>
  <w:style w:type="character" w:customStyle="1" w:styleId="a8">
    <w:name w:val="Текст выноски Знак"/>
    <w:basedOn w:val="a0"/>
    <w:link w:val="a7"/>
    <w:uiPriority w:val="99"/>
    <w:semiHidden/>
    <w:rsid w:val="005F096C"/>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11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637</Words>
  <Characters>3634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Гриненко Наталья Валерьевна</dc:creator>
  <cp:lastModifiedBy>Гриненко Наталья Валерьевна</cp:lastModifiedBy>
  <cp:revision>2</cp:revision>
  <dcterms:created xsi:type="dcterms:W3CDTF">2026-02-11T01:54:00Z</dcterms:created>
  <dcterms:modified xsi:type="dcterms:W3CDTF">2026-02-11T04:10:00Z</dcterms:modified>
</cp:coreProperties>
</file>